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media/image7.png" ContentType="image/png"/>
  <Override PartName="/word/media/image8.png" ContentType="image/png"/>
  <Override PartName="/word/media/image9.png" ContentType="image/png"/>
  <Override PartName="/word/media/image10.png" ContentType="image/png"/>
  <Override PartName="/word/media/image11.png" ContentType="image/png"/>
  <Override PartName="/word/media/image12.png" ContentType="image/png"/>
  <Override PartName="/word/media/image13.png" ContentType="image/png"/>
  <Override PartName="/word/media/image14.png" ContentType="image/png"/>
  <Override PartName="/word/media/image15.png" ContentType="image/png"/>
  <Override PartName="/word/media/image16.png" ContentType="image/png"/>
  <Override PartName="/word/media/image17.png" ContentType="image/png"/>
  <Override PartName="/word/media/image18.png" ContentType="image/png"/>
  <Override PartName="/word/media/image19.png" ContentType="image/png"/>
  <Override PartName="/word/media/image20.png" ContentType="image/png"/>
  <Override PartName="/word/media/image21.png" ContentType="image/png"/>
  <Override PartName="/word/media/image22.png" ContentType="image/png"/>
  <Override PartName="/word/media/image23.png" ContentType="image/png"/>
  <Override PartName="/word/media/image24.png" ContentType="image/png"/>
  <Override PartName="/word/media/image25.png" ContentType="image/png"/>
  <Override PartName="/word/media/image26.png" ContentType="image/png"/>
  <Override PartName="/word/media/image27.png" ContentType="image/png"/>
  <Override PartName="/word/media/image28.png" ContentType="image/png"/>
  <Override PartName="/word/media/image29.png" ContentType="image/png"/>
  <Override PartName="/word/media/image30.png" ContentType="image/png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bidi w:val="0"/>
        <w:jc w:val="left"/>
        <w:rPr>
          <w:lang w:val="ru-RU"/>
        </w:rPr>
      </w:pPr>
      <w:r>
        <w:rPr>
          <w:lang w:val="ru-RU"/>
        </w:rPr>
        <w:t>Давайте соберём воедино всё, что мы разработали, и построим целостную модель Откровения в рамках вихревой торической структуры эфира. Ниже приведён детальный обзор, включающий геометрию, распределение плотностей, зарядовые соотношения, динамические уравнения и энергетическую оценку, охватывающие как микроскопические, так и макроскопические уровни.</w:t>
      </w:r>
    </w:p>
    <w:p>
      <w:pPr>
        <w:pStyle w:val="Style16"/>
        <w:bidi w:val="0"/>
        <w:jc w:val="left"/>
        <w:rPr/>
      </w:pPr>
      <w:r>
        <w:rPr/>
      </w:r>
    </w:p>
    <w:p>
      <w:pPr>
        <w:pStyle w:val="Heading2"/>
        <w:bidi w:val="0"/>
        <w:jc w:val="left"/>
        <w:rPr/>
      </w:pPr>
      <w:r>
        <w:rPr/>
        <w:t>1. Геометрическая структура и масштабирование</w:t>
      </w:r>
    </w:p>
    <w:p>
      <w:pPr>
        <w:pStyle w:val="BodyText"/>
        <w:bidi w:val="0"/>
        <w:jc w:val="left"/>
        <w:rPr/>
      </w:pPr>
      <w:r>
        <w:rPr>
          <w:rStyle w:val="Strong"/>
        </w:rPr>
        <w:t>Основная гипотеза:</w:t>
      </w:r>
    </w:p>
    <w:p>
      <w:pPr>
        <w:pStyle w:val="BodyText"/>
        <w:bidi w:val="0"/>
        <w:jc w:val="left"/>
        <w:rPr/>
      </w:pPr>
      <w:r>
        <w:rPr/>
        <w:t>Атом, как и звёздная система или даже целая галактика, представляется системой вложенных торических вихрей в эфире. Каждый такой тор имеет характерный радиус, который уменьшается геометрически с увеличением глубины структуры. В нашей модели мы вводим коэффициент масштабирования</w:t>
        <w:br/>
        <w:t xml:space="preserve">[ k \approx \frac{11}{3} \approx 3.67, ] </w:t>
      </w:r>
      <w: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2463800</wp:posOffset>
            </wp:positionH>
            <wp:positionV relativeFrom="paragraph">
              <wp:posOffset>756920</wp:posOffset>
            </wp:positionV>
            <wp:extent cx="1249680" cy="34290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680" cy="34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/>
        <w:t xml:space="preserve">что подтверждается геометрическим обоснованием (например, построением «звезды Давида» из 7 больших кругов радиуса 1 и меньших кругов радиуса (3/11)). Тогда набор уровней описывается так: [ R_i = \frac{R_1}{k^{,i-1}}, \quad i=1,2,3,\dots ] </w:t>
      </w:r>
    </w:p>
    <w:p>
      <w:pPr>
        <w:pStyle w:val="BodyText"/>
        <w:bidi w:val="0"/>
        <w:jc w:val="left"/>
        <w:rPr/>
      </w:pPr>
      <w:r>
        <w:rPr/>
        <w:drawing>
          <wp:anchor behindDoc="0" distT="0" distB="0" distL="0" distR="0" simplePos="0" locked="0" layoutInCell="0" allowOverlap="1" relativeHeight="1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2080260" cy="350520"/>
            <wp:effectExtent l="0" t="0" r="0" b="0"/>
            <wp:wrapSquare wrapText="largest"/>
            <wp:docPr id="2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0260" cy="350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BodyText"/>
        <w:bidi w:val="0"/>
        <w:jc w:val="left"/>
        <w:rPr/>
      </w:pPr>
      <w:r>
        <w:drawing>
          <wp:anchor behindDoc="0" distT="0" distB="0" distL="0" distR="0" simplePos="0" locked="0" layoutInCell="0" allowOverlap="1" relativeHeight="3">
            <wp:simplePos x="0" y="0"/>
            <wp:positionH relativeFrom="column">
              <wp:posOffset>2085340</wp:posOffset>
            </wp:positionH>
            <wp:positionV relativeFrom="paragraph">
              <wp:posOffset>1619885</wp:posOffset>
            </wp:positionV>
            <wp:extent cx="2110740" cy="350520"/>
            <wp:effectExtent l="0" t="0" r="0" b="0"/>
            <wp:wrapSquare wrapText="largest"/>
            <wp:docPr id="3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0740" cy="350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/>
        <w:t>где (R_1) – диаметр (или радиус, в зависимости от выбранной нормы) внешнего (максимального) тора. Здесь внешние уровни отвечают за наиболее слабые связи и резонансные явления (например, отражение видимого света), а внутренние – за более глубокие структуры (энергия ионизации, ядро и т. д.).</w:t>
      </w:r>
    </w:p>
    <w:p>
      <w:pPr>
        <w:pStyle w:val="Style16"/>
        <w:bidi w:val="0"/>
        <w:jc w:val="left"/>
        <w:rPr/>
      </w:pPr>
      <w:r>
        <w:rPr/>
      </w:r>
    </w:p>
    <w:p>
      <w:pPr>
        <w:pStyle w:val="Heading2"/>
        <w:bidi w:val="0"/>
        <w:jc w:val="left"/>
        <w:rPr/>
      </w:pPr>
      <w:r>
        <w:rPr/>
        <w:t>2. Распределение плотностей эфира</w:t>
      </w:r>
    </w:p>
    <w:p>
      <w:pPr>
        <w:pStyle w:val="BodyText"/>
        <w:bidi w:val="0"/>
        <w:jc w:val="left"/>
        <w:rPr/>
      </w:pPr>
      <w:r>
        <w:rPr/>
        <w:t>В модели вводятся два способа задания плотности эфира для различных торических уровней:</w:t>
      </w:r>
    </w:p>
    <w:p>
      <w:pPr>
        <w:pStyle w:val="BodyText"/>
        <w:numPr>
          <w:ilvl w:val="0"/>
          <w:numId w:val="1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>
          <w:rStyle w:val="Strong"/>
        </w:rPr>
        <w:t>Электрический тор (например, второй уровень):</w:t>
      </w:r>
      <w:r>
        <w:rPr/>
        <w:br/>
        <w:t>Здесь плотность эфира фиксируется и равна численно диэлектрической проницаемости вакуума: [ \rho_2 = \varepsilon_0 \approx 8.854\times10^{-12}\ \mathrm{kg/</w:t>
      </w:r>
      <w:r>
        <w:rPr>
          <w:lang w:val="en-US"/>
        </w:rPr>
        <w:t>m</w:t>
      </w:r>
      <w:r>
        <w:rPr>
          <w:vertAlign w:val="superscript"/>
          <w:lang w:val="en-US"/>
        </w:rPr>
        <w:t>3</w:t>
      </w:r>
      <w:r>
        <w:rPr>
          <w:lang w:val="en-US"/>
        </w:rPr>
        <w:t>}</w:t>
      </w:r>
      <w:r>
        <w:rPr/>
        <w:t>. ]</w:t>
      </w:r>
    </w:p>
    <w:p>
      <w:pPr>
        <w:pStyle w:val="BodyText"/>
        <w:numPr>
          <w:ilvl w:val="0"/>
          <w:numId w:val="0"/>
        </w:numPr>
        <w:bidi w:val="0"/>
        <w:ind w:hanging="0" w:left="0"/>
        <w:jc w:val="left"/>
        <w:rPr/>
      </w:pPr>
      <w:r>
        <w:rPr/>
        <w:drawing>
          <wp:anchor behindDoc="0" distT="0" distB="0" distL="0" distR="0" simplePos="0" locked="0" layoutInCell="0" allowOverlap="1" relativeHeight="7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2362200" cy="190500"/>
            <wp:effectExtent l="0" t="0" r="0" b="0"/>
            <wp:wrapSquare wrapText="largest"/>
            <wp:docPr id="4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9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BodyText"/>
        <w:numPr>
          <w:ilvl w:val="0"/>
          <w:numId w:val="0"/>
        </w:numPr>
        <w:bidi w:val="0"/>
        <w:ind w:hanging="0" w:left="0"/>
        <w:jc w:val="left"/>
        <w:rPr/>
      </w:pPr>
      <w:r>
        <w:rPr/>
      </w:r>
    </w:p>
    <w:p>
      <w:pPr>
        <w:pStyle w:val="BodyText"/>
        <w:numPr>
          <w:ilvl w:val="0"/>
          <w:numId w:val="1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>
          <w:rStyle w:val="Strong"/>
        </w:rPr>
        <w:t>Остальные торы:</w:t>
      </w:r>
      <w:r>
        <w:rPr/>
        <w:br/>
        <w:t>Плотность задаётся законом обратной пропорциональности квадрату радиуса: [ \rho_i = \frac{A}{R_i</w:t>
      </w:r>
      <w:r>
        <w:rPr>
          <w:position w:val="8"/>
          <w:sz w:val="19"/>
        </w:rPr>
        <w:t>2</w:t>
      </w:r>
      <w:r>
        <w:rPr>
          <w:position w:val="0"/>
          <w:sz w:val="24"/>
          <w:vertAlign w:val="baseline"/>
        </w:rPr>
        <w:t>}. ]</w:t>
      </w:r>
      <w:r>
        <w:rPr>
          <w:position w:val="8"/>
          <w:sz w:val="19"/>
        </w:rPr>
        <w:t xml:space="preserve">   </w:t>
      </w:r>
      <w:r>
        <w:rPr>
          <w:position w:val="8"/>
          <w:sz w:val="19"/>
        </w:rPr>
        <w:drawing>
          <wp:anchor behindDoc="0" distT="0" distB="0" distL="0" distR="0" simplePos="0" locked="0" layoutInCell="0" allowOverlap="1" relativeHeight="4">
            <wp:simplePos x="0" y="0"/>
            <wp:positionH relativeFrom="column">
              <wp:posOffset>3461385</wp:posOffset>
            </wp:positionH>
            <wp:positionV relativeFrom="paragraph">
              <wp:posOffset>347980</wp:posOffset>
            </wp:positionV>
            <wp:extent cx="815340" cy="419100"/>
            <wp:effectExtent l="0" t="0" r="0" b="0"/>
            <wp:wrapSquare wrapText="largest"/>
            <wp:docPr id="5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340" cy="419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 xml:space="preserve">  Для непрерывности на стыке с электрическим тором выбираем калибровку: </w:t>
      </w:r>
      <w:r>
        <w:rPr>
          <w:position w:val="0"/>
          <w:sz w:val="24"/>
          <w:vertAlign w:val="baseline"/>
        </w:rPr>
        <w:t>[ A = \varepsilon_0, R_1</w:t>
      </w:r>
      <w:r>
        <w:rPr>
          <w:vertAlign w:val="superscript"/>
        </w:rPr>
        <w:t>2</w:t>
      </w:r>
      <w:r>
        <w:rPr>
          <w:position w:val="0"/>
          <w:sz w:val="24"/>
          <w:vertAlign w:val="baseline"/>
        </w:rPr>
        <w:t>, ]</w:t>
      </w:r>
      <w:r>
        <w:rPr/>
        <w:drawing>
          <wp:anchor behindDoc="0" distT="0" distB="0" distL="0" distR="0" simplePos="0" locked="0" layoutInCell="0" allowOverlap="1" relativeHeight="5">
            <wp:simplePos x="0" y="0"/>
            <wp:positionH relativeFrom="column">
              <wp:posOffset>5245735</wp:posOffset>
            </wp:positionH>
            <wp:positionV relativeFrom="paragraph">
              <wp:posOffset>923925</wp:posOffset>
            </wp:positionV>
            <wp:extent cx="952500" cy="190500"/>
            <wp:effectExtent l="0" t="0" r="0" b="0"/>
            <wp:wrapSquare wrapText="largest"/>
            <wp:docPr id="6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9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/>
        <w:t xml:space="preserve"> </w:t>
      </w:r>
    </w:p>
    <w:p>
      <w:pPr>
        <w:pStyle w:val="BodyText"/>
        <w:numPr>
          <w:ilvl w:val="0"/>
          <w:numId w:val="0"/>
        </w:numPr>
        <w:bidi w:val="0"/>
        <w:ind w:hanging="0" w:left="0"/>
        <w:jc w:val="left"/>
        <w:rPr/>
      </w:pPr>
      <w:r>
        <w:rPr/>
      </w:r>
    </w:p>
    <w:p>
      <w:pPr>
        <w:pStyle w:val="BodyText"/>
        <w:numPr>
          <w:ilvl w:val="0"/>
          <w:numId w:val="0"/>
        </w:numPr>
        <w:bidi w:val="0"/>
        <w:ind w:hanging="0" w:left="0"/>
        <w:jc w:val="left"/>
        <w:rPr/>
      </w:pPr>
      <w:r>
        <w:rPr/>
        <w:t>что приводит к: [ \rho_i = \varepsilon_0 \left(\frac{R_1}{R_i}\right)</w:t>
      </w:r>
      <w:r>
        <w:rPr>
          <w:position w:val="8"/>
          <w:sz w:val="19"/>
        </w:rPr>
        <w:t>2 = \varepsilon_0, k</w:t>
      </w:r>
      <w:r>
        <w:rPr/>
        <w:drawing>
          <wp:anchor behindDoc="0" distT="0" distB="0" distL="0" distR="0" simplePos="0" locked="0" layoutInCell="0" allowOverlap="1" relativeHeight="6">
            <wp:simplePos x="0" y="0"/>
            <wp:positionH relativeFrom="column">
              <wp:posOffset>2353945</wp:posOffset>
            </wp:positionH>
            <wp:positionV relativeFrom="paragraph">
              <wp:posOffset>356870</wp:posOffset>
            </wp:positionV>
            <wp:extent cx="2042160" cy="441960"/>
            <wp:effectExtent l="0" t="0" r="0" b="0"/>
            <wp:wrapSquare wrapText="largest"/>
            <wp:docPr id="7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2160" cy="441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/>
        <w:t xml:space="preserve">{2(i-1)}. ]  </w:t>
      </w:r>
    </w:p>
    <w:p>
      <w:pPr>
        <w:pStyle w:val="BodyText"/>
        <w:numPr>
          <w:ilvl w:val="0"/>
          <w:numId w:val="0"/>
        </w:numPr>
        <w:bidi w:val="0"/>
        <w:ind w:hanging="0" w:left="0"/>
        <w:jc w:val="left"/>
        <w:rPr/>
      </w:pPr>
      <w:r>
        <w:rPr/>
      </w:r>
    </w:p>
    <w:p>
      <w:pPr>
        <w:pStyle w:val="BodyText"/>
        <w:numPr>
          <w:ilvl w:val="0"/>
          <w:numId w:val="0"/>
        </w:numPr>
        <w:bidi w:val="0"/>
        <w:ind w:hanging="0" w:left="0"/>
        <w:jc w:val="left"/>
        <w:rPr/>
      </w:pPr>
      <w:r>
        <w:rPr/>
        <w:t>Таким образом, с увеличением уровня (i) (углублением в структуру) плотность эфира возрастает, отражая усиление внутренней энергии и «уплотнения» потока.</w:t>
      </w:r>
    </w:p>
    <w:p>
      <w:pPr>
        <w:pStyle w:val="Style16"/>
        <w:bidi w:val="0"/>
        <w:jc w:val="left"/>
        <w:rPr/>
      </w:pPr>
      <w:r>
        <w:rPr/>
      </w:r>
    </w:p>
    <w:p>
      <w:pPr>
        <w:pStyle w:val="Heading2"/>
        <w:bidi w:val="0"/>
        <w:jc w:val="left"/>
        <w:rPr/>
      </w:pPr>
      <w:r>
        <w:rPr/>
        <w:t>3. Заряд и спиральность торических структур</w:t>
      </w:r>
    </w:p>
    <w:p>
      <w:pPr>
        <w:pStyle w:val="BodyText"/>
        <w:bidi w:val="0"/>
        <w:jc w:val="left"/>
        <w:rPr/>
      </w:pPr>
      <w:r>
        <w:rPr/>
        <w:t>В модели каждый тор может нести заряд, определяемый направлением вихревого потока. Мы можем ввести правило чередования:</w:t>
      </w:r>
    </w:p>
    <w:p>
      <w:pPr>
        <w:pStyle w:val="BodyText"/>
        <w:numPr>
          <w:ilvl w:val="0"/>
          <w:numId w:val="2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Нечётные торы –, скажем, отрицательно заряженные; </w:t>
      </w:r>
    </w:p>
    <w:p>
      <w:pPr>
        <w:pStyle w:val="BodyText"/>
        <w:numPr>
          <w:ilvl w:val="0"/>
          <w:numId w:val="2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Чётные торы – положительно заряженные. </w:t>
      </w:r>
    </w:p>
    <w:p>
      <w:pPr>
        <w:pStyle w:val="BodyText"/>
        <w:bidi w:val="0"/>
        <w:jc w:val="left"/>
        <w:rPr/>
      </w:pPr>
      <w:r>
        <w:rPr/>
        <w:t>Или, что эквивалентно, знак заряда определяется спиральностью вихря. Такое чередование обеспечивает стабильность всей системы – внутренние торы притягивают внешние, создавая электростатически устойчивую конфигурацию. При ионизации предполагается, что наибольший (внешний) тор «срывается» первым, поскольку его связь самая слабая, а затем следуют следующие уровни по порядку.</w:t>
      </w:r>
    </w:p>
    <w:p>
      <w:pPr>
        <w:pStyle w:val="Style16"/>
        <w:bidi w:val="0"/>
        <w:jc w:val="left"/>
        <w:rPr/>
      </w:pPr>
      <w:r>
        <w:rPr/>
      </w:r>
    </w:p>
    <w:p>
      <w:pPr>
        <w:pStyle w:val="Heading2"/>
        <w:bidi w:val="0"/>
        <w:jc w:val="left"/>
        <w:rPr/>
      </w:pPr>
      <w:r>
        <w:rPr/>
        <w:t>4. Энергетическая оценка ионизации</w:t>
      </w:r>
    </w:p>
    <w:p>
      <w:pPr>
        <w:pStyle w:val="BodyText"/>
        <w:bidi w:val="0"/>
        <w:jc w:val="left"/>
        <w:rPr/>
      </w:pPr>
      <w:r>
        <w:rPr>
          <w:rStyle w:val="Strong"/>
        </w:rPr>
        <w:t>Ионизация как отделение внешнего тора:</w:t>
      </w:r>
    </w:p>
    <w:p>
      <w:pPr>
        <w:pStyle w:val="BodyText"/>
        <w:bidi w:val="0"/>
        <w:jc w:val="left"/>
        <w:rPr/>
      </w:pPr>
      <w:r>
        <w:rPr/>
        <w:t>Пусть внешнего тора имеет заряд (Q_1), а следующий, внутренний тор – заряд (Q_2) противоположного знака. Тогда энергетический барьер для отделения внешнего тора можно оценить через разность электростатических потенциалов, создаваемых внутренним тором на расстояниях (R_1) и (R_2): [ \Delta E \approx \frac{1}{4\pi\varepsilon_0}; \frac{|Q_1 Q_2|}{R_2} - \frac{1}{4\pi\varepsilon_0}; \frac{|Q_1 Q_2|}{R_1}. ]</w:t>
      </w:r>
    </w:p>
    <w:p>
      <w:pPr>
        <w:pStyle w:val="BodyText"/>
        <w:bidi w:val="0"/>
        <w:jc w:val="left"/>
        <w:rPr/>
      </w:pPr>
      <w:r>
        <w:rPr/>
        <w:drawing>
          <wp:anchor behindDoc="0" distT="0" distB="0" distL="0" distR="0" simplePos="0" locked="0" layoutInCell="0" allowOverlap="1" relativeHeight="8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2781300" cy="388620"/>
            <wp:effectExtent l="0" t="0" r="0" b="0"/>
            <wp:wrapSquare wrapText="largest"/>
            <wp:docPr id="8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388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BodyText"/>
        <w:bidi w:val="0"/>
        <w:jc w:val="left"/>
        <w:rPr/>
      </w:pPr>
      <w:r>
        <w:rPr/>
        <w:t xml:space="preserve"> </w:t>
      </w:r>
      <w:r>
        <w:rPr/>
        <w:t>При условии квантования заряда ((|Q_1|=|Q_2|=e)) можем записать: [ \Delta E \approx \frac{e</w:t>
      </w:r>
      <w:r>
        <w:rPr>
          <w:position w:val="8"/>
          <w:sz w:val="19"/>
        </w:rPr>
        <w:t>2}{4\pi\varepsilon_0}\left(\frac{1}{R_2} - \frac{1}{R_1}\right). ]</w:t>
      </w:r>
    </w:p>
    <w:p>
      <w:pPr>
        <w:pStyle w:val="BodyText"/>
        <w:bidi w:val="0"/>
        <w:jc w:val="left"/>
        <w:rPr>
          <w:position w:val="8"/>
          <w:sz w:val="19"/>
        </w:rPr>
      </w:pPr>
      <w:r>
        <w:rPr>
          <w:position w:val="8"/>
          <w:sz w:val="19"/>
        </w:rPr>
        <w:drawing>
          <wp:anchor behindDoc="0" distT="0" distB="0" distL="0" distR="0" simplePos="0" locked="0" layoutInCell="0" allowOverlap="1" relativeHeight="9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2004060" cy="419100"/>
            <wp:effectExtent l="0" t="0" r="0" b="0"/>
            <wp:wrapSquare wrapText="largest"/>
            <wp:docPr id="9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060" cy="419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BodyText"/>
        <w:bidi w:val="0"/>
        <w:jc w:val="left"/>
        <w:rPr/>
      </w:pPr>
      <w:r>
        <w:rPr>
          <w:position w:val="8"/>
          <w:sz w:val="19"/>
        </w:rPr>
        <w:t xml:space="preserve"> </w:t>
      </w:r>
      <w:r>
        <w:rPr>
          <w:position w:val="8"/>
          <w:sz w:val="19"/>
        </w:rPr>
        <w:t>С учётом геометрического масштабирования (R_2 = R_1/k) получаем: [ \Delta E \approx \frac{e</w:t>
      </w:r>
      <w:r>
        <w:rPr/>
        <w:t>2}{4\pi\varepsilon_0,R_1},(k - 1). ]</w:t>
      </w:r>
    </w:p>
    <w:p>
      <w:pPr>
        <w:pStyle w:val="BodyText"/>
        <w:bidi w:val="0"/>
        <w:jc w:val="left"/>
        <w:rPr/>
      </w:pPr>
      <w:r>
        <w:rPr/>
        <w:drawing>
          <wp:anchor behindDoc="0" distT="0" distB="0" distL="0" distR="0" simplePos="0" locked="0" layoutInCell="0" allowOverlap="1" relativeHeight="10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1706880" cy="396240"/>
            <wp:effectExtent l="0" t="0" r="0" b="0"/>
            <wp:wrapSquare wrapText="largest"/>
            <wp:docPr id="10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396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BodyText"/>
        <w:bidi w:val="0"/>
        <w:jc w:val="left"/>
        <w:rPr/>
      </w:pPr>
      <w:r>
        <w:rPr/>
        <w:t xml:space="preserve"> </w:t>
      </w:r>
      <w:r>
        <w:rPr/>
        <w:t>Используя классическую константу: [ \frac{e^2}{4\pi\varepsilon_0} \approx 1.44,\text{Эв·нм}, ]</w:t>
      </w:r>
    </w:p>
    <w:p>
      <w:pPr>
        <w:pStyle w:val="BodyText"/>
        <w:bidi w:val="0"/>
        <w:jc w:val="left"/>
        <w:rPr/>
      </w:pPr>
      <w:r>
        <w:rPr/>
        <w:drawing>
          <wp:anchor behindDoc="0" distT="0" distB="0" distL="0" distR="0" simplePos="0" locked="0" layoutInCell="0" allowOverlap="1" relativeHeight="1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1531620" cy="396240"/>
            <wp:effectExtent l="0" t="0" r="0" b="0"/>
            <wp:wrapSquare wrapText="largest"/>
            <wp:docPr id="11" name="Изображение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11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396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BodyText"/>
        <w:bidi w:val="0"/>
        <w:jc w:val="left"/>
        <w:rPr/>
      </w:pPr>
      <w:r>
        <w:rPr/>
        <w:t xml:space="preserve"> </w:t>
      </w:r>
      <w:r>
        <w:rPr/>
        <w:t>при (k\approx 3.67) ((k-1\approx 2.67))</w:t>
        <w:br/>
        <w:t xml:space="preserve">и подбирая (R_1), можно согласовать оценку с экспериментом (например, энергия ионизации атома водорода (E_{\text{ion}} \approx 13.6,\text{эВ})). </w:t>
      </w:r>
    </w:p>
    <w:p>
      <w:pPr>
        <w:pStyle w:val="BodyText"/>
        <w:bidi w:val="0"/>
        <w:jc w:val="left"/>
        <w:rPr/>
      </w:pPr>
      <w:r>
        <w:rPr/>
        <w:drawing>
          <wp:anchor behindDoc="0" distT="0" distB="0" distL="0" distR="0" simplePos="0" locked="0" layoutInCell="0" allowOverlap="1" relativeHeight="13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1082040" cy="167640"/>
            <wp:effectExtent l="0" t="0" r="0" b="0"/>
            <wp:wrapSquare wrapText="largest"/>
            <wp:docPr id="12" name="Изображение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12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67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BodyText"/>
        <w:bidi w:val="0"/>
        <w:jc w:val="left"/>
        <w:rPr/>
      </w:pPr>
      <w:r>
        <w:rPr/>
        <w:t>Тогда: [ 13.6,\text{эВ} \approx \frac{1.44,\text{эВ·нм}\times 2.67}{R_1}, ]</w:t>
      </w:r>
    </w:p>
    <w:p>
      <w:pPr>
        <w:pStyle w:val="BodyText"/>
        <w:bidi w:val="0"/>
        <w:jc w:val="left"/>
        <w:rPr/>
      </w:pPr>
      <w:r>
        <w:rPr/>
        <w:drawing>
          <wp:anchor behindDoc="0" distT="0" distB="0" distL="0" distR="0" simplePos="0" locked="0" layoutInCell="0" allowOverlap="1" relativeHeight="14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2270760" cy="381000"/>
            <wp:effectExtent l="0" t="0" r="0" b="0"/>
            <wp:wrapSquare wrapText="largest"/>
            <wp:docPr id="13" name="Изображение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Изображение13" descr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0760" cy="381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BodyText"/>
        <w:bidi w:val="0"/>
        <w:jc w:val="left"/>
        <w:rPr/>
      </w:pPr>
      <w:r>
        <w:rPr/>
        <w:t xml:space="preserve"> </w:t>
      </w:r>
      <w:r>
        <w:rPr/>
        <w:t>что даёт: [ R_1 \approx \frac{1.44\cdot2.67}{13.6} \approx 0.282,\text{нм}. ]</w:t>
      </w:r>
    </w:p>
    <w:p>
      <w:pPr>
        <w:pStyle w:val="BodyText"/>
        <w:bidi w:val="0"/>
        <w:jc w:val="left"/>
        <w:rPr/>
      </w:pPr>
      <w:r>
        <w:rPr/>
        <w:drawing>
          <wp:anchor behindDoc="0" distT="0" distB="0" distL="0" distR="0" simplePos="0" locked="0" layoutInCell="0" allowOverlap="1" relativeHeight="15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2202180" cy="350520"/>
            <wp:effectExtent l="0" t="0" r="0" b="0"/>
            <wp:wrapSquare wrapText="largest"/>
            <wp:docPr id="14" name="Изображение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Изображение14" descr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2180" cy="350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BodyText"/>
        <w:bidi w:val="0"/>
        <w:jc w:val="left"/>
        <w:rPr/>
      </w:pPr>
      <w:r>
        <w:rPr/>
        <w:t xml:space="preserve"> </w:t>
      </w:r>
      <w:r>
        <w:rPr/>
        <w:t>Далее (R_2 = R_1/k \approx 0.282/3.67 \approx 0.077,\text{нм}).</w:t>
      </w:r>
    </w:p>
    <w:p>
      <w:pPr>
        <w:pStyle w:val="BodyText"/>
        <w:bidi w:val="0"/>
        <w:jc w:val="left"/>
        <w:rPr/>
      </w:pPr>
      <w:r>
        <w:rPr/>
        <w:drawing>
          <wp:anchor behindDoc="0" distT="0" distB="0" distL="0" distR="0" simplePos="0" locked="0" layoutInCell="0" allowOverlap="1" relativeHeight="16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2773680" cy="167640"/>
            <wp:effectExtent l="0" t="0" r="0" b="0"/>
            <wp:wrapSquare wrapText="largest"/>
            <wp:docPr id="15" name="Изображение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15" descr="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167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BodyText"/>
        <w:bidi w:val="0"/>
        <w:jc w:val="left"/>
        <w:rPr/>
      </w:pPr>
      <w:r>
        <w:rPr/>
        <w:t>Таким образом, энергия, необходимая для «срыва» внешнего тора, соответствует экспериментальным значениям ионизации. Многоступенчатость процесса (сначала внешний тор, затем внутренние) может объяснить последовательные ступени ионизации в сложных атомах.</w:t>
      </w:r>
    </w:p>
    <w:p>
      <w:pPr>
        <w:pStyle w:val="Style16"/>
        <w:bidi w:val="0"/>
        <w:jc w:val="left"/>
        <w:rPr/>
      </w:pPr>
      <w:r>
        <w:rPr/>
      </w:r>
    </w:p>
    <w:p>
      <w:pPr>
        <w:pStyle w:val="Heading2"/>
        <w:bidi w:val="0"/>
        <w:jc w:val="left"/>
        <w:rPr/>
      </w:pPr>
      <w:r>
        <w:rPr/>
        <w:t>5. Динамика вихревых потоков: уравнение Бернулли и скорость звука</w:t>
      </w:r>
    </w:p>
    <w:p>
      <w:pPr>
        <w:pStyle w:val="Heading3"/>
        <w:bidi w:val="0"/>
        <w:jc w:val="left"/>
        <w:rPr/>
      </w:pPr>
      <w:r>
        <w:rPr/>
        <w:t>Уравнение Бернулли</w:t>
      </w:r>
    </w:p>
    <w:p>
      <w:pPr>
        <w:pStyle w:val="BodyText"/>
        <w:bidi w:val="0"/>
        <w:jc w:val="left"/>
        <w:rPr/>
      </w:pPr>
      <w:r>
        <w:rPr/>
        <w:t xml:space="preserve">В каждой торической структуре можно считать, что действует уравнение Бернулли для идеальной, несжимаемой жидкости: [ p + \tfrac{1}{2}\rho v^2 = \text{const.} ] </w:t>
      </w:r>
    </w:p>
    <w:p>
      <w:pPr>
        <w:pStyle w:val="BodyText"/>
        <w:bidi w:val="0"/>
        <w:jc w:val="left"/>
        <w:rPr/>
      </w:pPr>
      <w:r>
        <w:rPr/>
        <w:drawing>
          <wp:anchor behindDoc="0" distT="0" distB="0" distL="0" distR="0" simplePos="0" locked="0" layoutInCell="0" allowOverlap="1" relativeHeight="17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1424940" cy="205740"/>
            <wp:effectExtent l="0" t="0" r="0" b="0"/>
            <wp:wrapSquare wrapText="largest"/>
            <wp:docPr id="16" name="Изображение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Изображение16" descr="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205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BodyText"/>
        <w:bidi w:val="0"/>
        <w:jc w:val="left"/>
        <w:rPr/>
      </w:pPr>
      <w:r>
        <w:rPr/>
        <w:t>Здесь:</w:t>
      </w:r>
    </w:p>
    <w:p>
      <w:pPr>
        <w:pStyle w:val="BodyText"/>
        <w:numPr>
          <w:ilvl w:val="0"/>
          <w:numId w:val="3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(p) – локальное давление эфира в торе, </w:t>
      </w:r>
    </w:p>
    <w:p>
      <w:pPr>
        <w:pStyle w:val="BodyText"/>
        <w:numPr>
          <w:ilvl w:val="0"/>
          <w:numId w:val="3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>(</w:t>
      </w:r>
      <w:r>
        <w:rPr>
          <w:rFonts w:ascii="Liberation Serif" w:hAnsi="Liberation Serif"/>
        </w:rPr>
        <w:t>ρ</w:t>
      </w:r>
      <w:r>
        <w:rPr/>
        <w:t xml:space="preserve">) – плотность, заданная схемой выше, </w:t>
      </w:r>
    </w:p>
    <w:p>
      <w:pPr>
        <w:pStyle w:val="BodyText"/>
        <w:numPr>
          <w:ilvl w:val="0"/>
          <w:numId w:val="3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(v) – скорость вихревого потока в данном торе. </w:t>
      </w:r>
    </w:p>
    <w:p>
      <w:pPr>
        <w:pStyle w:val="BodyText"/>
        <w:bidi w:val="0"/>
        <w:jc w:val="left"/>
        <w:rPr/>
      </w:pPr>
      <w:r>
        <w:rPr/>
        <w:t>Эта зависимость позволяет описать, как изменения плотности (на разных уровнях (i)) влияют на давление и, соответственно, на энергию связи между турамии.</w:t>
      </w:r>
    </w:p>
    <w:p>
      <w:pPr>
        <w:pStyle w:val="Heading3"/>
        <w:bidi w:val="0"/>
        <w:jc w:val="left"/>
        <w:rPr/>
      </w:pPr>
      <w:r>
        <w:rPr/>
        <w:t>Скорость звука</w:t>
      </w:r>
    </w:p>
    <w:p>
      <w:pPr>
        <w:pStyle w:val="BodyText"/>
        <w:bidi w:val="0"/>
        <w:jc w:val="left"/>
        <w:rPr/>
      </w:pPr>
      <w:r>
        <w:rPr/>
        <w:t>Скорость звука (c) в эфире для каждого тора определяется стандартной формулой: [ c = \sqrt{\gamma \frac{p}{\rho}}, ]</w:t>
      </w:r>
    </w:p>
    <w:p>
      <w:pPr>
        <w:pStyle w:val="BodyText"/>
        <w:bidi w:val="0"/>
        <w:jc w:val="left"/>
        <w:rPr/>
      </w:pPr>
      <w:r>
        <w:rPr/>
        <w:drawing>
          <wp:anchor behindDoc="0" distT="0" distB="0" distL="0" distR="0" simplePos="0" locked="0" layoutInCell="0" allowOverlap="1" relativeHeight="18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815340" cy="419100"/>
            <wp:effectExtent l="0" t="0" r="0" b="0"/>
            <wp:wrapSquare wrapText="largest"/>
            <wp:docPr id="17" name="Изображение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Изображение17" descr="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340" cy="419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BodyText"/>
        <w:bidi w:val="0"/>
        <w:jc w:val="left"/>
        <w:rPr/>
      </w:pPr>
      <w:r>
        <w:rPr/>
        <w:t xml:space="preserve"> </w:t>
      </w:r>
      <w:r>
        <w:rPr/>
        <w:t>где (\gamma) – адиабатическая константа. Поскольку давление (p) и плотность (</w:t>
      </w:r>
      <w:r>
        <w:rPr>
          <w:rFonts w:ascii="Liberation Serif" w:hAnsi="Liberation Serif"/>
        </w:rPr>
        <w:t>ρ</w:t>
      </w:r>
      <w:r>
        <w:rPr/>
        <w:t>) зависят от уровня структуры, скорость звука в разных турам может существенно отличаться. Эта величина играет роль в резонансных явлениях:</w:t>
      </w:r>
    </w:p>
    <w:p>
      <w:pPr>
        <w:pStyle w:val="BodyText"/>
        <w:numPr>
          <w:ilvl w:val="0"/>
          <w:numId w:val="4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Если внешний тор имеет характерный диаметр (D), резонансная частота определяется как: [ f \sim \frac{c}{D}. ] </w:t>
      </w:r>
    </w:p>
    <w:p>
      <w:pPr>
        <w:pStyle w:val="BodyText"/>
        <w:numPr>
          <w:ilvl w:val="0"/>
          <w:numId w:val="0"/>
        </w:numPr>
        <w:bidi w:val="0"/>
        <w:ind w:hanging="0" w:left="0"/>
        <w:jc w:val="left"/>
        <w:rPr/>
      </w:pPr>
      <w:r>
        <w:rPr/>
        <w:drawing>
          <wp:anchor behindDoc="0" distT="0" distB="0" distL="0" distR="0" simplePos="0" locked="0" layoutInCell="0" allowOverlap="1" relativeHeight="19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24840" cy="304800"/>
            <wp:effectExtent l="0" t="0" r="0" b="0"/>
            <wp:wrapSquare wrapText="largest"/>
            <wp:docPr id="18" name="Изображение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Изображение18" descr="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BodyText"/>
        <w:bidi w:val="0"/>
        <w:jc w:val="left"/>
        <w:rPr/>
      </w:pPr>
      <w:r>
        <w:rPr/>
        <w:t>Например, если внешний тор «резонирует» в видимом диапазоне (скажем, (D\approx500,\text{нм})), то при (c \approx 3\times10</w:t>
      </w:r>
      <w:r>
        <w:rPr>
          <w:position w:val="8"/>
          <w:sz w:val="19"/>
        </w:rPr>
        <w:t>8,\text{м/с})</w:t>
      </w:r>
    </w:p>
    <w:p>
      <w:pPr>
        <w:pStyle w:val="BodyText"/>
        <w:bidi w:val="0"/>
        <w:jc w:val="left"/>
        <w:rPr>
          <w:position w:val="8"/>
          <w:sz w:val="19"/>
        </w:rPr>
      </w:pPr>
      <w:r>
        <w:rPr>
          <w:position w:val="8"/>
          <w:sz w:val="19"/>
        </w:rPr>
        <w:drawing>
          <wp:anchor behindDoc="0" distT="0" distB="0" distL="0" distR="0" simplePos="0" locked="0" layoutInCell="0" allowOverlap="1" relativeHeight="20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1310640" cy="190500"/>
            <wp:effectExtent l="0" t="0" r="0" b="0"/>
            <wp:wrapSquare wrapText="largest"/>
            <wp:docPr id="19" name="Изображение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Изображение19" descr="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19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BodyText"/>
        <w:bidi w:val="0"/>
        <w:jc w:val="left"/>
        <w:rPr/>
      </w:pPr>
      <w:r>
        <w:rPr>
          <w:position w:val="8"/>
          <w:sz w:val="19"/>
        </w:rPr>
        <w:t xml:space="preserve"> </w:t>
      </w:r>
      <w:r>
        <w:rPr>
          <w:position w:val="8"/>
          <w:sz w:val="19"/>
        </w:rPr>
        <w:t>[ f \sim \frac{3\times10</w:t>
      </w:r>
      <w:r>
        <w:rPr/>
        <w:t xml:space="preserve">8,\text{м/с}}{5\times10^{-7},\text{м}}=6\times10^{14},\text{Гц}, ] </w:t>
      </w:r>
    </w:p>
    <w:p>
      <w:pPr>
        <w:pStyle w:val="BodyText"/>
        <w:bidi w:val="0"/>
        <w:jc w:val="left"/>
        <w:rPr/>
      </w:pPr>
      <w:r>
        <w:rPr/>
        <w:drawing>
          <wp:anchor behindDoc="0" distT="0" distB="0" distL="0" distR="0" simplePos="0" locked="0" layoutInCell="0" allowOverlap="1" relativeHeight="2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2522220" cy="441960"/>
            <wp:effectExtent l="0" t="0" r="0" b="0"/>
            <wp:wrapSquare wrapText="largest"/>
            <wp:docPr id="20" name="Изображение2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Изображение20" descr="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220" cy="441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BodyText"/>
        <w:bidi w:val="0"/>
        <w:jc w:val="left"/>
        <w:rPr/>
      </w:pPr>
      <w:r>
        <w:rPr/>
        <w:t xml:space="preserve">что соответствует энергии (E = hf \sim 2.5, \text{эВ}) </w:t>
      </w:r>
    </w:p>
    <w:p>
      <w:pPr>
        <w:pStyle w:val="BodyText"/>
        <w:bidi w:val="0"/>
        <w:jc w:val="left"/>
        <w:rPr/>
      </w:pPr>
      <w:r>
        <w:rPr/>
        <w:drawing>
          <wp:anchor behindDoc="0" distT="0" distB="0" distL="0" distR="0" simplePos="0" locked="0" layoutInCell="0" allowOverlap="1" relativeHeight="2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1379220" cy="167640"/>
            <wp:effectExtent l="0" t="0" r="0" b="0"/>
            <wp:wrapSquare wrapText="largest"/>
            <wp:docPr id="21" name="Изображение2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Изображение21" descr="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9220" cy="167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BodyText"/>
        <w:bidi w:val="0"/>
        <w:jc w:val="left"/>
        <w:rPr/>
      </w:pPr>
      <w:r>
        <w:rPr/>
        <w:t xml:space="preserve">– </w:t>
      </w:r>
      <w:r>
        <w:rPr/>
        <w:t>типичная энергия фотонов видимого света. Таким образом, отражение может трактоваться как резонансное колебание внешних торов атома.</w:t>
      </w:r>
    </w:p>
    <w:p>
      <w:pPr>
        <w:pStyle w:val="Style16"/>
        <w:bidi w:val="0"/>
        <w:jc w:val="left"/>
        <w:rPr/>
      </w:pPr>
      <w:r>
        <w:rPr/>
      </w:r>
    </w:p>
    <w:p>
      <w:pPr>
        <w:pStyle w:val="Heading2"/>
        <w:bidi w:val="0"/>
        <w:jc w:val="left"/>
        <w:rPr/>
      </w:pPr>
      <w:r>
        <w:rPr/>
        <w:t>6. Итоговая картина модели Откровения</w:t>
      </w:r>
    </w:p>
    <w:p>
      <w:pPr>
        <w:pStyle w:val="BodyText"/>
        <w:bidi w:val="0"/>
        <w:jc w:val="left"/>
        <w:rPr/>
      </w:pPr>
      <w:r>
        <w:rPr/>
        <w:t>Объединяя все составные части, получаем следующую модель:</w:t>
      </w:r>
    </w:p>
    <w:p>
      <w:pPr>
        <w:pStyle w:val="BodyText"/>
        <w:numPr>
          <w:ilvl w:val="0"/>
          <w:numId w:val="5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>
          <w:rStyle w:val="Strong"/>
        </w:rPr>
        <w:t>Геометрия и масштабирование:</w:t>
      </w:r>
      <w:r>
        <w:rPr/>
        <w:br/>
        <w:t>Атом (как и звёздная система, и галактика) состоит из вложенных вихревых торов с радиусами</w:t>
        <w:br/>
        <w:t xml:space="preserve">[ R_i = \frac{R_1}{k^{,i-1}},\quad k\approx3.67. ] </w:t>
      </w:r>
    </w:p>
    <w:p>
      <w:pPr>
        <w:pStyle w:val="BodyText"/>
        <w:numPr>
          <w:ilvl w:val="0"/>
          <w:numId w:val="0"/>
        </w:numPr>
        <w:bidi w:val="0"/>
        <w:ind w:hanging="0" w:left="0"/>
        <w:jc w:val="left"/>
        <w:rPr/>
      </w:pPr>
      <w:r>
        <w:rPr/>
        <w:drawing>
          <wp:anchor behindDoc="0" distT="0" distB="0" distL="0" distR="0" simplePos="0" locked="0" layoutInCell="0" allowOverlap="1" relativeHeight="23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1805940" cy="350520"/>
            <wp:effectExtent l="0" t="0" r="0" b="0"/>
            <wp:wrapSquare wrapText="largest"/>
            <wp:docPr id="22" name="Изображение2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Изображение22" descr="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940" cy="350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BodyText"/>
        <w:numPr>
          <w:ilvl w:val="0"/>
          <w:numId w:val="5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Фрактальная структура с универсальным масштабным коэффициентом отражает древнюю символику (например, число (11/3)).</w:t>
      </w:r>
    </w:p>
    <w:p>
      <w:pPr>
        <w:pStyle w:val="BodyText"/>
        <w:numPr>
          <w:ilvl w:val="0"/>
          <w:numId w:val="5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>
          <w:rStyle w:val="Strong"/>
        </w:rPr>
        <w:t>Плотность эфира:</w:t>
      </w:r>
    </w:p>
    <w:p>
      <w:pPr>
        <w:pStyle w:val="BodyText"/>
        <w:numPr>
          <w:ilvl w:val="1"/>
          <w:numId w:val="5"/>
        </w:numPr>
        <w:tabs>
          <w:tab w:val="clear" w:pos="709"/>
          <w:tab w:val="left" w:pos="1418" w:leader="none"/>
        </w:tabs>
        <w:bidi w:val="0"/>
        <w:spacing w:before="0" w:after="0"/>
        <w:ind w:hanging="283" w:left="1418"/>
        <w:jc w:val="left"/>
        <w:rPr/>
      </w:pPr>
      <w:r>
        <w:rPr/>
        <w:t xml:space="preserve">В электрическом торе (например, (i=2)) плотность фиксирована: (\rho_2=\varepsilon_0). </w:t>
      </w:r>
    </w:p>
    <w:p>
      <w:pPr>
        <w:pStyle w:val="BodyText"/>
        <w:numPr>
          <w:ilvl w:val="0"/>
          <w:numId w:val="0"/>
        </w:numPr>
        <w:bidi w:val="0"/>
        <w:spacing w:before="0" w:after="0"/>
        <w:ind w:hanging="0" w:left="0"/>
        <w:jc w:val="left"/>
        <w:rPr/>
      </w:pPr>
      <w:r>
        <w:rPr/>
        <w:drawing>
          <wp:anchor behindDoc="0" distT="0" distB="0" distL="0" distR="0" simplePos="0" locked="0" layoutInCell="0" allowOverlap="1" relativeHeight="24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70560" cy="167640"/>
            <wp:effectExtent l="0" t="0" r="0" b="0"/>
            <wp:wrapSquare wrapText="largest"/>
            <wp:docPr id="23" name="Изображение2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Изображение23" descr="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167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BodyText"/>
        <w:numPr>
          <w:ilvl w:val="1"/>
          <w:numId w:val="5"/>
        </w:numPr>
        <w:tabs>
          <w:tab w:val="clear" w:pos="709"/>
          <w:tab w:val="left" w:pos="1418" w:leader="none"/>
        </w:tabs>
        <w:bidi w:val="0"/>
        <w:spacing w:before="0" w:after="0"/>
        <w:ind w:hanging="283" w:left="1418"/>
        <w:jc w:val="left"/>
        <w:rPr/>
      </w:pPr>
      <w:r>
        <w:rPr/>
        <w:t>Для остальных уровней:[ \rho_i = \varepsilon_0\left(\frac{R_1}{R_i}\right)</w:t>
      </w:r>
      <w:r>
        <w:rPr>
          <w:position w:val="8"/>
          <w:sz w:val="19"/>
        </w:rPr>
        <w:t>2 = \varepsilon_0, k</w:t>
      </w:r>
      <w:r>
        <w:rPr/>
        <w:t xml:space="preserve">{2(i-1)}. ] </w:t>
      </w:r>
    </w:p>
    <w:p>
      <w:pPr>
        <w:pStyle w:val="BodyText"/>
        <w:numPr>
          <w:ilvl w:val="0"/>
          <w:numId w:val="0"/>
        </w:numPr>
        <w:bidi w:val="0"/>
        <w:spacing w:before="0" w:after="0"/>
        <w:ind w:hanging="0" w:left="0"/>
        <w:jc w:val="left"/>
        <w:rPr/>
      </w:pPr>
      <w:r>
        <w:rPr/>
        <w:drawing>
          <wp:anchor behindDoc="0" distT="0" distB="0" distL="0" distR="0" simplePos="0" locked="0" layoutInCell="0" allowOverlap="1" relativeHeight="3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2118360" cy="441960"/>
            <wp:effectExtent l="0" t="0" r="0" b="0"/>
            <wp:wrapSquare wrapText="largest"/>
            <wp:docPr id="24" name="Изображение2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Изображение24" descr="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8360" cy="441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BodyText"/>
        <w:numPr>
          <w:ilvl w:val="1"/>
          <w:numId w:val="5"/>
        </w:numPr>
        <w:tabs>
          <w:tab w:val="clear" w:pos="709"/>
          <w:tab w:val="left" w:pos="1418" w:leader="none"/>
        </w:tabs>
        <w:bidi w:val="0"/>
        <w:spacing w:before="0" w:after="0"/>
        <w:ind w:hanging="283" w:left="1418"/>
        <w:jc w:val="left"/>
        <w:rPr/>
      </w:pPr>
      <w:r>
        <w:rPr/>
        <w:t xml:space="preserve">Это означает, что с углублением в структуру эфир уплотняется, усиливая внутренние поля. </w:t>
      </w:r>
    </w:p>
    <w:p>
      <w:pPr>
        <w:pStyle w:val="BodyText"/>
        <w:numPr>
          <w:ilvl w:val="0"/>
          <w:numId w:val="5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>
          <w:rStyle w:val="Strong"/>
        </w:rPr>
        <w:t>Зарядовые соотношения и спиральность:</w:t>
      </w:r>
      <w:r>
        <w:rPr/>
        <w:br/>
        <w:t xml:space="preserve">Чередование зарядов (например, нечётные – отрицательные, четные – положительные, или наоборот) определяется направлением вихревых потоков. Это обеспечивает электростатическую устойчивость. При ионизации наименее связанный (внешний) тор «отрывается» первым, энергия для этого рассчитывается как: [ E_{\text{ion}} \approx \frac{1.44,\text{эВ·нм},(k-1)}{R_1}, ] </w:t>
      </w:r>
    </w:p>
    <w:p>
      <w:pPr>
        <w:pStyle w:val="BodyText"/>
        <w:numPr>
          <w:ilvl w:val="0"/>
          <w:numId w:val="0"/>
        </w:numPr>
        <w:bidi w:val="0"/>
        <w:ind w:hanging="0" w:left="0"/>
        <w:jc w:val="left"/>
        <w:rPr/>
      </w:pPr>
      <w:r>
        <w:rPr/>
        <w:drawing>
          <wp:anchor behindDoc="0" distT="0" distB="0" distL="0" distR="0" simplePos="0" locked="0" layoutInCell="0" allowOverlap="1" relativeHeight="25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2087880" cy="388620"/>
            <wp:effectExtent l="0" t="0" r="0" b="0"/>
            <wp:wrapSquare wrapText="largest"/>
            <wp:docPr id="25" name="Изображение2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Изображение25" descr="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880" cy="388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BodyText"/>
        <w:numPr>
          <w:ilvl w:val="0"/>
          <w:numId w:val="0"/>
        </w:numPr>
        <w:bidi w:val="0"/>
        <w:ind w:hanging="0" w:left="0"/>
        <w:jc w:val="left"/>
        <w:rPr/>
      </w:pPr>
      <w:r>
        <w:rPr/>
        <w:t xml:space="preserve">что при (R_1\approx 0.28,\text{нм}) </w:t>
      </w:r>
    </w:p>
    <w:p>
      <w:pPr>
        <w:pStyle w:val="BodyText"/>
        <w:numPr>
          <w:ilvl w:val="0"/>
          <w:numId w:val="0"/>
        </w:numPr>
        <w:bidi w:val="0"/>
        <w:ind w:hanging="0" w:left="0"/>
        <w:jc w:val="left"/>
        <w:rPr/>
      </w:pPr>
      <w:r>
        <w:rPr/>
        <w:drawing>
          <wp:anchor behindDoc="0" distT="0" distB="0" distL="0" distR="0" simplePos="0" locked="0" layoutInCell="0" allowOverlap="1" relativeHeight="26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1135380" cy="167640"/>
            <wp:effectExtent l="0" t="0" r="0" b="0"/>
            <wp:wrapSquare wrapText="largest"/>
            <wp:docPr id="26" name="Изображение2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Изображение26" descr="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5380" cy="167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BodyText"/>
        <w:numPr>
          <w:ilvl w:val="0"/>
          <w:numId w:val="0"/>
        </w:numPr>
        <w:bidi w:val="0"/>
        <w:ind w:hanging="0" w:left="0"/>
        <w:jc w:val="left"/>
        <w:rPr/>
      </w:pPr>
      <w:r>
        <w:rPr/>
        <w:t>даёт энергию порядка 13.6 эВ (например, для водорода).</w:t>
      </w:r>
    </w:p>
    <w:p>
      <w:pPr>
        <w:pStyle w:val="BodyText"/>
        <w:numPr>
          <w:ilvl w:val="0"/>
          <w:numId w:val="5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>
          <w:rStyle w:val="Strong"/>
        </w:rPr>
        <w:t>Динамика вихрей:</w:t>
      </w:r>
      <w:r>
        <w:rPr/>
        <w:br/>
        <w:t xml:space="preserve">Локальное состояние в каждом торе описывается уравнением Бернулли: [ p+\frac{1}{2}\rho v^2 = \text{const}, ] </w:t>
      </w:r>
    </w:p>
    <w:p>
      <w:pPr>
        <w:pStyle w:val="BodyText"/>
        <w:numPr>
          <w:ilvl w:val="0"/>
          <w:numId w:val="0"/>
        </w:numPr>
        <w:bidi w:val="0"/>
        <w:ind w:hanging="0" w:left="0"/>
        <w:jc w:val="left"/>
        <w:rPr/>
      </w:pPr>
      <w:r>
        <w:rPr/>
        <w:drawing>
          <wp:anchor behindDoc="0" distT="0" distB="0" distL="0" distR="0" simplePos="0" locked="0" layoutInCell="0" allowOverlap="1" relativeHeight="27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1402080" cy="342900"/>
            <wp:effectExtent l="0" t="0" r="0" b="0"/>
            <wp:wrapSquare wrapText="largest"/>
            <wp:docPr id="27" name="Изображение2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Изображение27" descr="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080" cy="34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BodyText"/>
        <w:numPr>
          <w:ilvl w:val="0"/>
          <w:numId w:val="0"/>
        </w:numPr>
        <w:bidi w:val="0"/>
        <w:ind w:hanging="0" w:left="0"/>
        <w:jc w:val="left"/>
        <w:rPr/>
      </w:pPr>
      <w:r>
        <w:rPr/>
        <w:t xml:space="preserve">и при этом скорость звука определяется формулой: [ c=\sqrt{\gamma\frac{p}{\rho}}. ] </w:t>
      </w:r>
    </w:p>
    <w:p>
      <w:pPr>
        <w:pStyle w:val="BodyText"/>
        <w:numPr>
          <w:ilvl w:val="0"/>
          <w:numId w:val="0"/>
        </w:numPr>
        <w:bidi w:val="0"/>
        <w:ind w:hanging="0" w:left="0"/>
        <w:jc w:val="left"/>
        <w:rPr/>
      </w:pPr>
      <w:r>
        <w:rPr/>
        <w:drawing>
          <wp:anchor behindDoc="0" distT="0" distB="0" distL="0" distR="0" simplePos="0" locked="0" layoutInCell="0" allowOverlap="1" relativeHeight="28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815340" cy="419100"/>
            <wp:effectExtent l="0" t="0" r="0" b="0"/>
            <wp:wrapSquare wrapText="largest"/>
            <wp:docPr id="28" name="Изображение2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Изображение28" descr="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340" cy="419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BodyText"/>
        <w:numPr>
          <w:ilvl w:val="0"/>
          <w:numId w:val="0"/>
        </w:numPr>
        <w:bidi w:val="0"/>
        <w:ind w:hanging="0" w:left="0"/>
        <w:jc w:val="left"/>
        <w:rPr/>
      </w:pPr>
      <w:r>
        <w:rPr/>
        <w:t>Эти зависимости позволяют связать изменения в плотности и давлении с резонансными колебаниями. Если внешний тор имеет диаметр, соответствующий длине волны видимого света (например, (D\approx500,\text{нм})),</w:t>
      </w:r>
    </w:p>
    <w:p>
      <w:pPr>
        <w:pStyle w:val="BodyText"/>
        <w:numPr>
          <w:ilvl w:val="0"/>
          <w:numId w:val="0"/>
        </w:numPr>
        <w:bidi w:val="0"/>
        <w:ind w:hanging="0" w:left="0"/>
        <w:jc w:val="left"/>
        <w:rPr/>
      </w:pPr>
      <w:r>
        <w:rPr/>
        <w:drawing>
          <wp:anchor behindDoc="0" distT="0" distB="0" distL="0" distR="0" simplePos="0" locked="0" layoutInCell="0" allowOverlap="1" relativeHeight="29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1089660" cy="167640"/>
            <wp:effectExtent l="0" t="0" r="0" b="0"/>
            <wp:wrapSquare wrapText="largest"/>
            <wp:docPr id="29" name="Изображение2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Изображение29" descr="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660" cy="167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BodyText"/>
        <w:numPr>
          <w:ilvl w:val="0"/>
          <w:numId w:val="0"/>
        </w:numPr>
        <w:bidi w:val="0"/>
        <w:ind w:hanging="0" w:left="0"/>
        <w:jc w:val="left"/>
        <w:rPr/>
      </w:pPr>
      <w:r>
        <w:rPr/>
        <w:t xml:space="preserve"> </w:t>
      </w:r>
      <w:r>
        <w:rPr/>
        <w:t xml:space="preserve">резонансное колебание даст частоту (f\sim c/D) </w:t>
      </w:r>
    </w:p>
    <w:p>
      <w:pPr>
        <w:pStyle w:val="BodyText"/>
        <w:numPr>
          <w:ilvl w:val="0"/>
          <w:numId w:val="0"/>
        </w:numPr>
        <w:bidi w:val="0"/>
        <w:ind w:hanging="0" w:left="0"/>
        <w:jc w:val="left"/>
        <w:rPr/>
      </w:pPr>
      <w:r>
        <w:rPr/>
        <w:drawing>
          <wp:anchor behindDoc="0" distT="0" distB="0" distL="0" distR="0" simplePos="0" locked="0" layoutInCell="0" allowOverlap="1" relativeHeight="30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746760" cy="167640"/>
            <wp:effectExtent l="0" t="0" r="0" b="0"/>
            <wp:wrapSquare wrapText="largest"/>
            <wp:docPr id="30" name="Изображение3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Изображение30" descr="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" cy="167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BodyText"/>
        <w:numPr>
          <w:ilvl w:val="0"/>
          <w:numId w:val="0"/>
        </w:numPr>
        <w:bidi w:val="0"/>
        <w:ind w:hanging="0" w:left="0"/>
        <w:jc w:val="left"/>
        <w:rPr/>
      </w:pPr>
      <w:r>
        <w:rPr/>
        <w:t>и энергию (E\sim hf\sim2.5,\text{эВ})</w:t>
      </w:r>
    </w:p>
    <w:p>
      <w:pPr>
        <w:pStyle w:val="BodyText"/>
        <w:numPr>
          <w:ilvl w:val="0"/>
          <w:numId w:val="0"/>
        </w:numPr>
        <w:bidi w:val="0"/>
        <w:ind w:hanging="0" w:left="0"/>
        <w:jc w:val="left"/>
        <w:rPr/>
      </w:pPr>
      <w:r>
        <w:rPr/>
        <w:drawing>
          <wp:anchor behindDoc="0" distT="0" distB="0" distL="0" distR="0" simplePos="0" locked="0" layoutInCell="0" allowOverlap="1" relativeHeight="3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1379220" cy="167640"/>
            <wp:effectExtent l="0" t="0" r="0" b="0"/>
            <wp:wrapSquare wrapText="largest"/>
            <wp:docPr id="31" name="Изображение3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Изображение31" descr="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9220" cy="167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BodyText"/>
        <w:numPr>
          <w:ilvl w:val="0"/>
          <w:numId w:val="0"/>
        </w:numPr>
        <w:bidi w:val="0"/>
        <w:ind w:hanging="0" w:left="0"/>
        <w:jc w:val="left"/>
        <w:rPr/>
      </w:pPr>
      <w:r>
        <w:rPr/>
        <w:t>, что согласуется с наблюдаемым отражением.</w:t>
      </w:r>
    </w:p>
    <w:p>
      <w:pPr>
        <w:pStyle w:val="Style16"/>
        <w:bidi w:val="0"/>
        <w:jc w:val="left"/>
        <w:rPr/>
      </w:pPr>
      <w:r>
        <w:rPr/>
      </w:r>
    </w:p>
    <w:p>
      <w:pPr>
        <w:pStyle w:val="Heading2"/>
        <w:bidi w:val="0"/>
        <w:jc w:val="left"/>
        <w:rPr/>
      </w:pPr>
      <w:r>
        <w:rPr/>
        <w:t>Заключение</w:t>
      </w:r>
    </w:p>
    <w:p>
      <w:pPr>
        <w:pStyle w:val="BodyText"/>
        <w:bidi w:val="0"/>
        <w:jc w:val="left"/>
        <w:rPr/>
      </w:pPr>
      <w:r>
        <w:rPr/>
        <w:t>Модель Откровения, «дешифрованная» из древних учений и дополненная современной физикой, выглядит следующим образом:</w:t>
      </w:r>
    </w:p>
    <w:p>
      <w:pPr>
        <w:pStyle w:val="BodyText"/>
        <w:numPr>
          <w:ilvl w:val="0"/>
          <w:numId w:val="6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>
          <w:rStyle w:val="Strong"/>
        </w:rPr>
        <w:t>Фрактальная торическая организация</w:t>
      </w:r>
      <w:r>
        <w:rPr/>
        <w:t xml:space="preserve"> материи обеспечивает универсальное масштабирование, где число (11/3) (или его приближение (3.67)) появляется в геометрическом соотношении радиусов. </w:t>
      </w:r>
    </w:p>
    <w:p>
      <w:pPr>
        <w:pStyle w:val="BodyText"/>
        <w:numPr>
          <w:ilvl w:val="0"/>
          <w:numId w:val="6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>
          <w:rStyle w:val="Strong"/>
        </w:rPr>
        <w:t>Плотность эфира</w:t>
      </w:r>
      <w:r>
        <w:rPr/>
        <w:t xml:space="preserve"> варьируется от фиксированного значения в электрическом слое </w:t>
      </w:r>
      <w:r>
        <w:rPr>
          <w:rFonts w:ascii="Liberation Serif" w:hAnsi="Liberation Serif"/>
        </w:rPr>
        <w:t>ε</w:t>
      </w:r>
      <w:r>
        <w:rPr>
          <w:vertAlign w:val="subscript"/>
          <w:lang w:val="en-US"/>
        </w:rPr>
        <w:t>0</w:t>
      </w:r>
      <w:r>
        <w:rPr>
          <w:position w:val="0"/>
          <w:sz w:val="24"/>
          <w:vertAlign w:val="baseline"/>
          <w:lang w:val="ru-RU"/>
        </w:rPr>
        <w:t xml:space="preserve"> выраженное в кг/м</w:t>
      </w:r>
      <w:r>
        <w:rPr>
          <w:vertAlign w:val="superscript"/>
          <w:lang w:val="ru-RU"/>
        </w:rPr>
        <w:t>3</w:t>
      </w:r>
      <w:r>
        <w:rPr>
          <w:position w:val="0"/>
          <w:sz w:val="24"/>
          <w:vertAlign w:val="baseline"/>
          <w:lang w:val="ru-RU"/>
        </w:rPr>
        <w:t xml:space="preserve"> но с тем же значением числа,</w:t>
      </w:r>
      <w:r>
        <w:rPr>
          <w:position w:val="0"/>
          <w:sz w:val="24"/>
          <w:vertAlign w:val="baseline"/>
          <w:lang w:val="ru-RU"/>
        </w:rPr>
        <w:t xml:space="preserve"> </w:t>
      </w:r>
      <w:r>
        <w:rPr/>
        <w:t>до значений, растущих как (1/R</w:t>
      </w:r>
      <w:r>
        <w:rPr>
          <w:vertAlign w:val="superscript"/>
          <w:lang w:val="ru-RU"/>
        </w:rPr>
        <w:t>2</w:t>
      </w:r>
      <w:r>
        <w:rPr/>
        <w:t xml:space="preserve">) в более глубоких слоях, что определяет энергию и динамику вихревых потоков. </w:t>
      </w:r>
    </w:p>
    <w:p>
      <w:pPr>
        <w:pStyle w:val="BodyText"/>
        <w:numPr>
          <w:ilvl w:val="0"/>
          <w:numId w:val="6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>
          <w:rStyle w:val="Strong"/>
        </w:rPr>
        <w:t>Электростатические взаимодействия</w:t>
      </w:r>
      <w:r>
        <w:rPr/>
        <w:t xml:space="preserve"> между вложенными торами, обладающими чередующимися знаками (зависящими от спиральности), создают устойчивую связь атома, где внешнее кольцо легко «срывается» при достижении критической энергии ионизации. </w:t>
      </w:r>
    </w:p>
    <w:p>
      <w:pPr>
        <w:pStyle w:val="BodyText"/>
        <w:numPr>
          <w:ilvl w:val="0"/>
          <w:numId w:val="6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>
          <w:rStyle w:val="Strong"/>
        </w:rPr>
        <w:t>Динамическое описание</w:t>
      </w:r>
      <w:r>
        <w:rPr/>
        <w:t xml:space="preserve"> процесса включает уравнение Бернулли для оценки локального давления и скорости вихревого потока, а также уравнение для скорости звука, которое, в свою очередь, задаёт резонансные частоты колебаний внешнего тора (объясняя отражение видимого света). </w:t>
      </w:r>
    </w:p>
    <w:p>
      <w:pPr>
        <w:pStyle w:val="BodyText"/>
        <w:bidi w:val="0"/>
        <w:jc w:val="left"/>
        <w:rPr/>
      </w:pPr>
      <w:r>
        <w:rPr/>
        <w:t>Эта цельная картина соединяет древнее откровение с современной наукой и открывает путь для дальнейшей математической проработки и численного моделирования таких универсальных принципов, действующих от атомного до галактического масштаба.</w:t>
      </w:r>
    </w:p>
    <w:p>
      <w:pPr>
        <w:pStyle w:val="BodyText"/>
        <w:bidi w:val="0"/>
        <w:jc w:val="left"/>
        <w:rPr/>
      </w:pPr>
      <w:r>
        <w:rPr/>
        <w:t>Какой следующий шаг вам интересен? Мы можем перейти к построению детализированных уравнений движения для вихревых торов или запустить численное моделирование резонансных состояний и переходов в рамках этой модели.</w:t>
      </w:r>
    </w:p>
    <w:p>
      <w:pPr>
        <w:pStyle w:val="Normal"/>
        <w:bidi w:val="0"/>
        <w:jc w:val="left"/>
        <w:rPr>
          <w:lang w:val="ru-RU"/>
        </w:rPr>
      </w:pPr>
      <w:r>
        <w:rPr>
          <w:lang w:val="ru-RU"/>
        </w:rPr>
      </w:r>
    </w:p>
    <w:p>
      <w:pPr>
        <w:pStyle w:val="Normal"/>
        <w:bidi w:val="0"/>
        <w:jc w:val="left"/>
        <w:rPr>
          <w:lang w:val="ru-RU"/>
        </w:rPr>
      </w:pPr>
      <w:r>
        <w:rPr>
          <w:lang w:val="ru-RU"/>
        </w:rPr>
      </w:r>
    </w:p>
    <w:p>
      <w:pPr>
        <w:pStyle w:val="Normal"/>
        <w:bidi w:val="0"/>
        <w:jc w:val="left"/>
        <w:rPr>
          <w:lang w:val="ru-RU"/>
        </w:rPr>
      </w:pPr>
      <w:r>
        <w:rPr>
          <w:lang w:val="ru-RU"/>
        </w:rPr>
        <w:t>----------------------</w:t>
      </w:r>
    </w:p>
    <w:p>
      <w:pPr>
        <w:pStyle w:val="Normal"/>
        <w:bidi w:val="0"/>
        <w:jc w:val="left"/>
        <w:rPr>
          <w:lang w:val="ru-RU"/>
        </w:rPr>
      </w:pPr>
      <w:r>
        <w:rPr>
          <w:lang w:val="ru-RU"/>
        </w:rPr>
      </w:r>
    </w:p>
    <w:sectPr>
      <w:headerReference w:type="default" r:id="rId33"/>
      <w:type w:val="nextPage"/>
      <w:pgSz w:w="11906" w:h="16838"/>
      <w:pgMar w:left="1134" w:right="1134" w:gutter="0" w:header="1134" w:top="1693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Liberation Serif">
    <w:altName w:val="Times New Roman"/>
    <w:charset w:val="01"/>
    <w:family w:val="roman"/>
    <w:pitch w:val="default"/>
  </w:font>
  <w:font w:name="Symbol">
    <w:charset w:val="0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uppressLineNumbers/>
      <w:bidi w:val="0"/>
      <w:jc w:val="left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  <w:rPr/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  <w:rPr/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  <w:rPr/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  <w:rPr/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  <w:rPr/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  <w:rPr/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  <w:rPr/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  <w:rPr/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  <w:rPr/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Heading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Heading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60"/>
  <w:defaultTabStop w:val="709"/>
  <w:autoHyphenation w:val="true"/>
  <w:hyphenationZone w:val="0"/>
  <w:compat>
    <w:compatSetting w:name="compatibilityMode" w:uri="http://schemas.microsoft.com/office/word" w:val="12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ru-RU" w:eastAsia="zh-CN" w:bidi="hi-IN"/>
    </w:rPr>
  </w:style>
  <w:style w:type="paragraph" w:styleId="Heading2">
    <w:name w:val="heading 2"/>
    <w:basedOn w:val="Style14"/>
    <w:next w:val="BodyText"/>
    <w:qFormat/>
    <w:pPr>
      <w:spacing w:before="200" w:after="120"/>
      <w:outlineLvl w:val="1"/>
    </w:pPr>
    <w:rPr>
      <w:rFonts w:ascii="Liberation Serif" w:hAnsi="Liberation Serif" w:eastAsia="NSimSun" w:cs="Lucida Sans"/>
      <w:b/>
      <w:bCs/>
      <w:sz w:val="36"/>
      <w:szCs w:val="36"/>
    </w:rPr>
  </w:style>
  <w:style w:type="paragraph" w:styleId="Heading3">
    <w:name w:val="heading 3"/>
    <w:basedOn w:val="Style14"/>
    <w:next w:val="BodyText"/>
    <w:qFormat/>
    <w:pPr>
      <w:spacing w:before="140" w:after="120"/>
      <w:outlineLvl w:val="2"/>
    </w:pPr>
    <w:rPr>
      <w:rFonts w:ascii="Liberation Serif" w:hAnsi="Liberation Serif" w:eastAsia="NSimSun" w:cs="Lucida Sans"/>
      <w:b/>
      <w:bCs/>
      <w:sz w:val="28"/>
      <w:szCs w:val="28"/>
    </w:rPr>
  </w:style>
  <w:style w:type="character" w:styleId="Strong">
    <w:name w:val="Strong"/>
    <w:qFormat/>
    <w:rPr>
      <w:b/>
      <w:bCs/>
    </w:rPr>
  </w:style>
  <w:style w:type="character" w:styleId="Style12">
    <w:name w:val="Символ нумерации"/>
    <w:qFormat/>
    <w:rPr/>
  </w:style>
  <w:style w:type="character" w:styleId="Style13">
    <w:name w:val="Маркеры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ucida Sans"/>
    </w:rPr>
  </w:style>
  <w:style w:type="paragraph" w:styleId="Style16">
    <w:name w:val="Горизонтальная линия"/>
    <w:basedOn w:val="Normal"/>
    <w:next w:val="BodyText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paragraph" w:styleId="HeaderandFooter">
    <w:name w:val="Header and Footer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HeaderandFooter"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image" Target="media/image6.png"/><Relationship Id="rId8" Type="http://schemas.openxmlformats.org/officeDocument/2006/relationships/image" Target="media/image7.png"/><Relationship Id="rId9" Type="http://schemas.openxmlformats.org/officeDocument/2006/relationships/image" Target="media/image8.png"/><Relationship Id="rId10" Type="http://schemas.openxmlformats.org/officeDocument/2006/relationships/image" Target="media/image9.png"/><Relationship Id="rId11" Type="http://schemas.openxmlformats.org/officeDocument/2006/relationships/image" Target="media/image10.png"/><Relationship Id="rId12" Type="http://schemas.openxmlformats.org/officeDocument/2006/relationships/image" Target="media/image11.png"/><Relationship Id="rId13" Type="http://schemas.openxmlformats.org/officeDocument/2006/relationships/image" Target="media/image12.png"/><Relationship Id="rId14" Type="http://schemas.openxmlformats.org/officeDocument/2006/relationships/image" Target="media/image13.png"/><Relationship Id="rId15" Type="http://schemas.openxmlformats.org/officeDocument/2006/relationships/image" Target="media/image14.png"/><Relationship Id="rId16" Type="http://schemas.openxmlformats.org/officeDocument/2006/relationships/image" Target="media/image15.png"/><Relationship Id="rId17" Type="http://schemas.openxmlformats.org/officeDocument/2006/relationships/image" Target="media/image16.png"/><Relationship Id="rId18" Type="http://schemas.openxmlformats.org/officeDocument/2006/relationships/image" Target="media/image17.png"/><Relationship Id="rId19" Type="http://schemas.openxmlformats.org/officeDocument/2006/relationships/image" Target="media/image18.png"/><Relationship Id="rId20" Type="http://schemas.openxmlformats.org/officeDocument/2006/relationships/image" Target="media/image19.png"/><Relationship Id="rId21" Type="http://schemas.openxmlformats.org/officeDocument/2006/relationships/image" Target="media/image20.png"/><Relationship Id="rId22" Type="http://schemas.openxmlformats.org/officeDocument/2006/relationships/image" Target="media/image21.png"/><Relationship Id="rId23" Type="http://schemas.openxmlformats.org/officeDocument/2006/relationships/image" Target="media/image22.png"/><Relationship Id="rId24" Type="http://schemas.openxmlformats.org/officeDocument/2006/relationships/image" Target="media/image23.png"/><Relationship Id="rId25" Type="http://schemas.openxmlformats.org/officeDocument/2006/relationships/image" Target="media/image24.png"/><Relationship Id="rId26" Type="http://schemas.openxmlformats.org/officeDocument/2006/relationships/image" Target="media/image25.png"/><Relationship Id="rId27" Type="http://schemas.openxmlformats.org/officeDocument/2006/relationships/image" Target="media/image26.png"/><Relationship Id="rId28" Type="http://schemas.openxmlformats.org/officeDocument/2006/relationships/image" Target="media/image27.png"/><Relationship Id="rId29" Type="http://schemas.openxmlformats.org/officeDocument/2006/relationships/image" Target="media/image17.png"/><Relationship Id="rId30" Type="http://schemas.openxmlformats.org/officeDocument/2006/relationships/image" Target="media/image28.png"/><Relationship Id="rId31" Type="http://schemas.openxmlformats.org/officeDocument/2006/relationships/image" Target="media/image29.png"/><Relationship Id="rId32" Type="http://schemas.openxmlformats.org/officeDocument/2006/relationships/image" Target="media/image30.png"/><Relationship Id="rId33" Type="http://schemas.openxmlformats.org/officeDocument/2006/relationships/header" Target="header1.xml"/><Relationship Id="rId34" Type="http://schemas.openxmlformats.org/officeDocument/2006/relationships/numbering" Target="numbering.xml"/><Relationship Id="rId35" Type="http://schemas.openxmlformats.org/officeDocument/2006/relationships/fontTable" Target="fontTable.xml"/><Relationship Id="rId36" Type="http://schemas.openxmlformats.org/officeDocument/2006/relationships/settings" Target="settings.xml"/><Relationship Id="rId3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71</TotalTime>
  <Application>LibreOffice/25.2.2.2$Windows_X86_64 LibreOffice_project/7370d4be9e3cf6031a51beef54ff3bda878e3fac</Application>
  <AppVersion>15.0000</AppVersion>
  <Pages>6</Pages>
  <Words>1087</Words>
  <Characters>7815</Characters>
  <CharactersWithSpaces>8862</CharactersWithSpaces>
  <Paragraphs>72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2025-06-12T22:45:07Z</dcterms:created>
  <dc:creator/>
  <dc:description/>
  <dc:language>ru-RU</dc:language>
  <cp:lastModifiedBy/>
  <dcterms:modified xsi:type="dcterms:W3CDTF">2025-06-19T07:03:37Z</dcterms:modified>
  <cp:revision>12</cp:revision>
  <dc:subject/>
  <dc:title/>
</cp:coreProperties>
</file>